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FA" w:rsidRPr="00BA34FA" w:rsidRDefault="00BA34FA" w:rsidP="00BA34FA">
      <w:pPr>
        <w:pBdr>
          <w:bottom w:val="single" w:sz="24" w:space="10" w:color="FAFAFA"/>
        </w:pBdr>
        <w:shd w:val="clear" w:color="auto" w:fill="FFFFFF"/>
        <w:spacing w:after="204" w:line="240" w:lineRule="auto"/>
        <w:outlineLvl w:val="0"/>
        <w:rPr>
          <w:rFonts w:ascii="inherit" w:eastAsia="Times New Roman" w:hAnsi="inherit" w:cs="Calibri"/>
          <w:color w:val="4D4D4D"/>
          <w:kern w:val="36"/>
          <w:sz w:val="38"/>
          <w:szCs w:val="38"/>
          <w:lang w:eastAsia="cs-CZ"/>
        </w:rPr>
      </w:pPr>
      <w:r w:rsidRPr="00BA34FA">
        <w:rPr>
          <w:rFonts w:ascii="inherit" w:eastAsia="Times New Roman" w:hAnsi="inherit" w:cs="Calibri"/>
          <w:color w:val="4D4D4D"/>
          <w:kern w:val="36"/>
          <w:sz w:val="38"/>
          <w:szCs w:val="38"/>
          <w:lang w:eastAsia="cs-CZ"/>
        </w:rPr>
        <w:t xml:space="preserve">Průvodce </w:t>
      </w:r>
      <w:proofErr w:type="spellStart"/>
      <w:r w:rsidRPr="00BA34FA">
        <w:rPr>
          <w:rFonts w:ascii="inherit" w:eastAsia="Times New Roman" w:hAnsi="inherit" w:cs="Calibri"/>
          <w:color w:val="4D4D4D"/>
          <w:kern w:val="36"/>
          <w:sz w:val="38"/>
          <w:szCs w:val="38"/>
          <w:lang w:eastAsia="cs-CZ"/>
        </w:rPr>
        <w:t>samotestováním</w:t>
      </w:r>
      <w:proofErr w:type="spellEnd"/>
      <w:r w:rsidRPr="00BA34FA">
        <w:rPr>
          <w:rFonts w:ascii="inherit" w:eastAsia="Times New Roman" w:hAnsi="inherit" w:cs="Calibri"/>
          <w:color w:val="4D4D4D"/>
          <w:kern w:val="36"/>
          <w:sz w:val="38"/>
          <w:szCs w:val="38"/>
          <w:lang w:eastAsia="cs-CZ"/>
        </w:rPr>
        <w:t xml:space="preserve"> ve firmách</w:t>
      </w:r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19"/>
          <w:szCs w:val="19"/>
          <w:lang w:eastAsia="cs-CZ"/>
        </w:rPr>
        <w:t>Publikováno:</w:t>
      </w:r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proofErr w:type="gramStart"/>
      <w:r w:rsidRPr="00BA34FA">
        <w:rPr>
          <w:rFonts w:ascii="Calibri" w:eastAsia="Times New Roman" w:hAnsi="Calibri" w:cs="Calibri"/>
          <w:color w:val="C21F15"/>
          <w:sz w:val="19"/>
          <w:szCs w:val="19"/>
          <w:lang w:eastAsia="cs-CZ"/>
        </w:rPr>
        <w:t>27.2.2021</w:t>
      </w:r>
      <w:proofErr w:type="gramEnd"/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19"/>
          <w:szCs w:val="19"/>
          <w:lang w:eastAsia="cs-CZ"/>
        </w:rPr>
        <w:t>Autor:</w:t>
      </w:r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r w:rsidRPr="00BA34FA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Odbor komunikace</w:t>
      </w:r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  <w:t xml:space="preserve">AKTUALIZOVÁNO 1. 3. 2021 - Zveřejňujeme průvodce </w:t>
      </w:r>
      <w:proofErr w:type="spellStart"/>
      <w:r w:rsidRPr="00BA34FA"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  <w:t>samotestováním</w:t>
      </w:r>
      <w:proofErr w:type="spellEnd"/>
      <w:r w:rsidRPr="00BA34FA"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  <w:t xml:space="preserve"> na covid-19 ve firmách. Tedy postup, jak od 1. března 2021 </w:t>
      </w:r>
      <w:proofErr w:type="spellStart"/>
      <w:r w:rsidRPr="00BA34FA"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  <w:t>samotestovat</w:t>
      </w:r>
      <w:proofErr w:type="spellEnd"/>
      <w:r w:rsidRPr="00BA34FA">
        <w:rPr>
          <w:rFonts w:ascii="Calibri" w:eastAsia="Times New Roman" w:hAnsi="Calibri" w:cs="Calibri"/>
          <w:i/>
          <w:iCs/>
          <w:color w:val="4D4D4D"/>
          <w:sz w:val="23"/>
          <w:szCs w:val="23"/>
          <w:lang w:eastAsia="cs-CZ"/>
        </w:rPr>
        <w:t xml:space="preserve"> antigenními testy s úhradou z veřejného zdravotního pojištění. Ke stažení zde najdete také vzor přehledu o provedených testech.</w:t>
      </w:r>
    </w:p>
    <w:p w:rsidR="00BA34FA" w:rsidRPr="00BA34FA" w:rsidRDefault="00BA34FA" w:rsidP="00BA34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19"/>
          <w:szCs w:val="19"/>
          <w:lang w:eastAsia="cs-CZ"/>
        </w:rPr>
        <w:br/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Níže popsaný systém 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samotestování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, tedy testování antigenními testy na 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covid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 - 19 bez zdravotníků, je doplňkový. </w:t>
      </w: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Nadále platí, že pokud je to možné, využívá se k testování </w:t>
      </w:r>
      <w:hyperlink r:id="rId5" w:history="1">
        <w:r w:rsidRPr="00BA34FA">
          <w:rPr>
            <w:rFonts w:ascii="Calibri" w:eastAsia="Times New Roman" w:hAnsi="Calibri" w:cs="Calibri"/>
            <w:b/>
            <w:bCs/>
            <w:color w:val="337AB7"/>
            <w:sz w:val="23"/>
            <w:u w:val="single"/>
            <w:lang w:eastAsia="cs-CZ"/>
          </w:rPr>
          <w:t>sít POC antigenních center</w:t>
        </w:r>
      </w:hyperlink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,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v níž je vyšetření plně hrazeno z veřejného zdravotního pojištění. Protože se v nich výsledek přímo zaznamenává do informačního systému infekčních nemocí, lze pozitivní osobu bezodkladně izolovat a trasovat. Firmy mohou testování nadále realizovat i přímo v podniku, pokud si sjednají potřebného zdravotníka. M</w:t>
      </w:r>
      <w:r w:rsidRPr="00BA34FA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etodika je k dispozici </w:t>
      </w:r>
      <w:hyperlink r:id="rId6" w:history="1">
        <w:r w:rsidRPr="00BA34FA">
          <w:rPr>
            <w:rFonts w:ascii="Calibri" w:eastAsia="Times New Roman" w:hAnsi="Calibri" w:cs="Calibri"/>
            <w:color w:val="0000FF"/>
            <w:sz w:val="23"/>
            <w:u w:val="single"/>
            <w:lang w:eastAsia="cs-CZ"/>
          </w:rPr>
          <w:t>zde</w:t>
        </w:r>
      </w:hyperlink>
      <w:r w:rsidRPr="00BA34FA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.</w:t>
      </w:r>
    </w:p>
    <w:p w:rsidR="00BA34FA" w:rsidRPr="00BA34FA" w:rsidRDefault="00395A55" w:rsidP="00BA34FA">
      <w:pPr>
        <w:shd w:val="clear" w:color="auto" w:fill="FFFFFF"/>
        <w:spacing w:before="272" w:after="272" w:line="240" w:lineRule="auto"/>
        <w:rPr>
          <w:rFonts w:ascii="Calibri" w:eastAsia="Times New Roman" w:hAnsi="Calibri" w:cs="Calibri"/>
          <w:color w:val="4D4D4D"/>
          <w:sz w:val="19"/>
          <w:szCs w:val="19"/>
          <w:lang w:eastAsia="cs-CZ"/>
        </w:rPr>
      </w:pPr>
      <w:r>
        <w:rPr>
          <w:rFonts w:ascii="Calibri" w:eastAsia="Times New Roman" w:hAnsi="Calibri" w:cs="Calibri"/>
          <w:color w:val="4D4D4D"/>
          <w:sz w:val="19"/>
          <w:szCs w:val="19"/>
          <w:lang w:eastAsia="cs-CZ"/>
        </w:rPr>
        <w:pict>
          <v:rect id="_x0000_i1025" style="width:0;height:0" o:hralign="center" o:hrstd="t" o:hr="t" fillcolor="#a0a0a0" stroked="f"/>
        </w:pict>
      </w:r>
    </w:p>
    <w:p w:rsidR="00BA34FA" w:rsidRPr="00BA34FA" w:rsidRDefault="00BA34FA" w:rsidP="00BA34FA">
      <w:pPr>
        <w:shd w:val="clear" w:color="auto" w:fill="FFFFFF"/>
        <w:spacing w:before="272" w:after="136" w:line="240" w:lineRule="auto"/>
        <w:outlineLvl w:val="1"/>
        <w:rPr>
          <w:rFonts w:ascii="inherit" w:eastAsia="Times New Roman" w:hAnsi="inherit" w:cs="Calibri"/>
          <w:color w:val="4D4D4D"/>
          <w:sz w:val="33"/>
          <w:szCs w:val="33"/>
          <w:lang w:eastAsia="cs-CZ"/>
        </w:rPr>
      </w:pPr>
      <w:r w:rsidRPr="00BA34FA">
        <w:rPr>
          <w:rFonts w:ascii="inherit" w:eastAsia="Times New Roman" w:hAnsi="inherit" w:cs="Calibri"/>
          <w:b/>
          <w:bCs/>
          <w:color w:val="4D4D4D"/>
          <w:sz w:val="33"/>
          <w:lang w:eastAsia="cs-CZ"/>
        </w:rPr>
        <w:t xml:space="preserve">Deset kroků pro </w:t>
      </w:r>
      <w:proofErr w:type="spellStart"/>
      <w:r w:rsidRPr="00BA34FA">
        <w:rPr>
          <w:rFonts w:ascii="inherit" w:eastAsia="Times New Roman" w:hAnsi="inherit" w:cs="Calibri"/>
          <w:b/>
          <w:bCs/>
          <w:color w:val="4D4D4D"/>
          <w:sz w:val="33"/>
          <w:lang w:eastAsia="cs-CZ"/>
        </w:rPr>
        <w:t>samotestování</w:t>
      </w:r>
      <w:proofErr w:type="spellEnd"/>
    </w:p>
    <w:p w:rsidR="00BA34FA" w:rsidRPr="00BA34FA" w:rsidRDefault="00395A55" w:rsidP="00BA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hyperlink r:id="rId7" w:anchor="_Zamestnavatel" w:history="1">
        <w:r w:rsidR="00BA34FA" w:rsidRPr="00BA34FA">
          <w:rPr>
            <w:rFonts w:ascii="Calibri" w:eastAsia="Times New Roman" w:hAnsi="Calibri" w:cs="Calibri"/>
            <w:b/>
            <w:bCs/>
            <w:color w:val="004B8D"/>
            <w:sz w:val="23"/>
            <w:u w:val="single"/>
            <w:lang w:eastAsia="cs-CZ"/>
          </w:rPr>
          <w:t>Zaměstnavatel</w:t>
        </w:r>
      </w:hyperlink>
    </w:p>
    <w:p w:rsidR="00BA34FA" w:rsidRPr="00BA34FA" w:rsidRDefault="00395A55" w:rsidP="00BA3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hyperlink r:id="rId8" w:anchor="_OSVC" w:history="1">
        <w:r w:rsidR="00BA34FA" w:rsidRPr="00BA34FA">
          <w:rPr>
            <w:rFonts w:ascii="Calibri" w:eastAsia="Times New Roman" w:hAnsi="Calibri" w:cs="Calibri"/>
            <w:b/>
            <w:bCs/>
            <w:color w:val="004B8D"/>
            <w:sz w:val="23"/>
            <w:u w:val="single"/>
            <w:lang w:eastAsia="cs-CZ"/>
          </w:rPr>
          <w:t>OSVČ bez zaměstnanců</w:t>
        </w:r>
      </w:hyperlink>
    </w:p>
    <w:p w:rsidR="00BA34FA" w:rsidRPr="00BA34FA" w:rsidRDefault="00BA34FA" w:rsidP="00BA34FA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Calibri"/>
          <w:color w:val="4D4D4D"/>
          <w:sz w:val="25"/>
          <w:szCs w:val="25"/>
          <w:lang w:eastAsia="cs-CZ"/>
        </w:rPr>
      </w:pPr>
      <w:bookmarkStart w:id="0" w:name="_Zamestnavatel"/>
      <w:r w:rsidRPr="00BA34FA">
        <w:rPr>
          <w:rFonts w:ascii="inherit" w:eastAsia="Times New Roman" w:hAnsi="inherit" w:cs="Calibri"/>
          <w:b/>
          <w:bCs/>
          <w:color w:val="337AB7"/>
          <w:sz w:val="25"/>
          <w:lang w:eastAsia="cs-CZ"/>
        </w:rPr>
        <w:t>Zaměstnavatel</w:t>
      </w:r>
      <w:bookmarkEnd w:id="0"/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1.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Na webu </w:t>
      </w:r>
      <w:hyperlink r:id="rId9" w:history="1">
        <w:r w:rsidRPr="00BA34FA">
          <w:rPr>
            <w:rFonts w:ascii="Calibri" w:eastAsia="Times New Roman" w:hAnsi="Calibri" w:cs="Calibri"/>
            <w:color w:val="337AB7"/>
            <w:sz w:val="23"/>
            <w:u w:val="single"/>
            <w:lang w:eastAsia="cs-CZ"/>
          </w:rPr>
          <w:t>https://www.mzcr.cz/seznam-antigennich-testu-pro-ktere-vydalo-mz-vyjimku/</w:t>
        </w:r>
      </w:hyperlink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získám informaci o držitelích výjimky pro antigenní testy prováděné laickou osobou a jejich výrobcích.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2. 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Testy pořídím v rámci standardní distribuční sítě, tedy buď ve velkém objemu přímo od distributora, nebo pokud to bude možné např. v lékárně. Vždy je nezbytné, aby byl k testům přiložen návod v českém jazyce. Fakturu za zakoupené testy uschovám – může být následně předmětem kontroly ze strany zdravotních pojišťoven za účelem poskytnutí příspěvku z fondu prevence.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3. 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Pokud zaměstnanec v rámci sedmidenního období vykonává práci výlučně mimo pracoviště zaměstnavatele, umožní mu zaměstnavatel postoupit test mimo pracoviště zaměstnavatele mimo jiné i v domácím prostředí. Vždy však musím dodržet postup uvedený níže včetně zaznamenání výsledku testu. Cílem testování je předejít nákaze ostatních zaměstnanců (netestuji zbytečně osoby na 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home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 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office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 apod.). Informuji zaměstnance, že v případě jakýchkoliv příznaků onemocnění COVID-19 nepoužiji 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samotest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, ale okamžitě postupuji podle návodu pro příznakové osoby - </w:t>
      </w:r>
      <w:hyperlink r:id="rId10" w:history="1">
        <w:r w:rsidRPr="00BA34FA">
          <w:rPr>
            <w:rFonts w:ascii="Calibri" w:eastAsia="Times New Roman" w:hAnsi="Calibri" w:cs="Calibri"/>
            <w:color w:val="337AB7"/>
            <w:sz w:val="23"/>
            <w:u w:val="single"/>
            <w:lang w:eastAsia="cs-CZ"/>
          </w:rPr>
          <w:t>https://koronavirus.mzcr.cz/jak-postupovat-kdyz-mam-priznaky/</w:t>
        </w:r>
      </w:hyperlink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lastRenderedPageBreak/>
        <w:t>4.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Testování se neprovádí u osob, které prodělaly laboratorně potvrzené onemocnění COVID-19, uplynula doba jejich izolace, nejeví žádné příznaky onemocnění COVID-19, a od prvního pozitivního RT-PCR testu nebo POC antigenního testu neuplynulo více než 90 dní. Tyto skutečnosti se prokazují lékařskou zprávou. Dále se neprovádí u osob, které doloží negativní výsledek RT-PCR testu nebo profesionálně provedeného POC antigenního testu, který není starší 48 hod., a které nemají příznaky onemocnění COVID-19.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5.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Seznámím s příbalovou informací a návodem k použití testů všechny zaměstnance, kteří budou testy používat.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6.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Na pracovišti vyčlením vhodný prostor k testování – nevyužívanou místnost nebo místnost, kde nedochází ke koncentraci zaměstnanců. Vybavím pověřené zaměstnance, kteří budou spolupracovat při provádění testů, ochrannými pomůckami (respirátor FFP2, ochranné brýle, ochranné rukavice). V případě, že je test prováděn v domácím prostředí provede jej zaměstnanec před odchodem do zaměstnání.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7.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Informaci o provedení a výsledku testu zaměstnance včetně jeho čísla pojištěnce (většinou rodné číslo bez lomítka) zaznamená pověřený zaměstnanec do </w:t>
      </w: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přehledu o provedených testech 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- ke stažení níže*. V případě, kdy zaměstnanec provádí test v domácím prostředí, informuje o výsledku svého zaměstnavatele.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8.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Výsledky</w:t>
      </w:r>
    </w:p>
    <w:p w:rsidR="00BA34FA" w:rsidRPr="00BA34FA" w:rsidRDefault="00BA34FA" w:rsidP="00BA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V případě negativního výsledku zaměstnanec pokračuje v běžné práci při dodržení aktuálních ochranných opatření.</w:t>
      </w:r>
    </w:p>
    <w:p w:rsidR="00BA34FA" w:rsidRPr="00BA34FA" w:rsidRDefault="00BA34FA" w:rsidP="00BA3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V případě pozitivního výsledku je zaměstnanec povinen: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Sdělit tuto skutečnost zaměstnavateli.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Nevstupovat na pracoviště, a pokud se testování provádí na pracovišti, bezodkladně jej opustit.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Bezodkladně telefonicky či jiným vzdáleným způsobem kontaktovat poskytovatele </w:t>
      </w:r>
      <w:proofErr w:type="spellStart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pracovnělékařských</w:t>
      </w:r>
      <w:proofErr w:type="spellEnd"/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 xml:space="preserve"> služeb nebo svého registrujícího praktického lékaře nebo, pokud zaměstnanec registrujícího praktického lékaře nemá, místně příslušný orgán ochrany veřejného zdraví (krajskou hygienickou stanici nebo hygienickou stanici hlavního města Prahy).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Do určení dalšího postupu lékařem nebo hygienickou stanicí musí zaměstnanec minimalizovat riziko nákazy dalších lidí, tedy ideálně se izolovat.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Tento lékař či příslušný orgán ochrany veřejného zdraví rozhodne o konfirmačním testu prostřednictvím RT-PCR testu a vystaví žádanku v ISIN.</w:t>
      </w:r>
    </w:p>
    <w:p w:rsidR="00BA34FA" w:rsidRPr="00BA34FA" w:rsidRDefault="00BA34FA" w:rsidP="00BA34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3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Zaměstnanec je povinen se konfirmačnímu testu podrobit.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9.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S použitými testy se naloží dle </w:t>
      </w:r>
      <w:hyperlink r:id="rId11" w:history="1">
        <w:r w:rsidRPr="00BA34FA">
          <w:rPr>
            <w:rFonts w:ascii="Calibri" w:eastAsia="Times New Roman" w:hAnsi="Calibri" w:cs="Calibri"/>
            <w:color w:val="337AB7"/>
            <w:sz w:val="23"/>
            <w:u w:val="single"/>
            <w:lang w:eastAsia="cs-CZ"/>
          </w:rPr>
          <w:t xml:space="preserve">metodického sdělení Odboru odpadů Ministerstva životního prostředí k zařazení odpadu z antigenních testů určených k </w:t>
        </w:r>
        <w:proofErr w:type="spellStart"/>
        <w:r w:rsidRPr="00BA34FA">
          <w:rPr>
            <w:rFonts w:ascii="Calibri" w:eastAsia="Times New Roman" w:hAnsi="Calibri" w:cs="Calibri"/>
            <w:color w:val="337AB7"/>
            <w:sz w:val="23"/>
            <w:u w:val="single"/>
            <w:lang w:eastAsia="cs-CZ"/>
          </w:rPr>
          <w:t>samotestování</w:t>
        </w:r>
        <w:proofErr w:type="spellEnd"/>
        <w:r w:rsidRPr="00BA34FA">
          <w:rPr>
            <w:rFonts w:ascii="Calibri" w:eastAsia="Times New Roman" w:hAnsi="Calibri" w:cs="Calibri"/>
            <w:color w:val="337AB7"/>
            <w:sz w:val="23"/>
            <w:u w:val="single"/>
            <w:lang w:eastAsia="cs-CZ"/>
          </w:rPr>
          <w:t xml:space="preserve"> osob</w:t>
        </w:r>
      </w:hyperlink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:</w:t>
      </w:r>
    </w:p>
    <w:p w:rsidR="00BA34FA" w:rsidRPr="00BA34FA" w:rsidRDefault="00BA34FA" w:rsidP="00BA3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Vložit všechny použité testovací sady do černého plastového pytle s tloušťkou alespoň 0,2 mm. V případě tenčích použít pytle dva – jeden vložit do druhého.</w:t>
      </w:r>
    </w:p>
    <w:p w:rsidR="00BA34FA" w:rsidRPr="00BA34FA" w:rsidRDefault="00BA34FA" w:rsidP="00BA3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Po naplnění nebo nejpozději do 24 hodin od prvního použití pytel zavázat a vnější povrch ošetřit dezinfekčním prostředkem.</w:t>
      </w:r>
    </w:p>
    <w:p w:rsidR="00BA34FA" w:rsidRPr="00BA34FA" w:rsidRDefault="00BA34FA" w:rsidP="00BA3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lastRenderedPageBreak/>
        <w:t>Pytel vyhodit do běžné nádoby na směsný komunální odpad. Nikdy neodkládejte pytle s použitými testy vedle popelnic!</w:t>
      </w:r>
    </w:p>
    <w:p w:rsidR="00BA34FA" w:rsidRPr="00BA34FA" w:rsidRDefault="00BA34FA" w:rsidP="00BA3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Osoba manipulující s tímto odpadem si poté vždy důkladně umyje ruce mýdlem a teplou vodou nebo použije dezinfekci na ruce.</w:t>
      </w:r>
    </w:p>
    <w:p w:rsidR="00BA34FA" w:rsidRPr="00BA34FA" w:rsidRDefault="00BA34FA" w:rsidP="00BA34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6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Příspěvek zdravotní pojišťovny je vyplácen na maximálně 4 testy jednoho zaměstnance měsíčně. Dobrovolně a plně na náklady zaměstnavatele lze testy provádět i častěji.</w:t>
      </w:r>
    </w:p>
    <w:p w:rsidR="00BA34FA" w:rsidRPr="00BA34FA" w:rsidRDefault="00BA34FA" w:rsidP="00BA34FA">
      <w:pPr>
        <w:shd w:val="clear" w:color="auto" w:fill="FFFFFF"/>
        <w:spacing w:after="136" w:line="346" w:lineRule="atLeast"/>
        <w:rPr>
          <w:rFonts w:ascii="Calibri" w:eastAsia="Times New Roman" w:hAnsi="Calibri" w:cs="Calibri"/>
          <w:color w:val="4D4D4D"/>
          <w:sz w:val="23"/>
          <w:szCs w:val="23"/>
          <w:lang w:eastAsia="cs-CZ"/>
        </w:rPr>
      </w:pPr>
      <w:r w:rsidRPr="00BA34FA">
        <w:rPr>
          <w:rFonts w:ascii="Calibri" w:eastAsia="Times New Roman" w:hAnsi="Calibri" w:cs="Calibri"/>
          <w:b/>
          <w:bCs/>
          <w:color w:val="4D4D4D"/>
          <w:sz w:val="23"/>
          <w:lang w:eastAsia="cs-CZ"/>
        </w:rPr>
        <w:t>10.</w:t>
      </w:r>
      <w:r w:rsidRPr="00BA34FA">
        <w:rPr>
          <w:rFonts w:ascii="Calibri" w:eastAsia="Times New Roman" w:hAnsi="Calibri" w:cs="Calibri"/>
          <w:color w:val="4D4D4D"/>
          <w:sz w:val="23"/>
          <w:szCs w:val="23"/>
          <w:lang w:eastAsia="cs-CZ"/>
        </w:rPr>
        <w:t> Jednou měsíčně vykáži vůči zdravotním pojišťovnám testovaných zaměstnanců počty provedených testů prostřednictvím příslušných formulářů. Pojišťovny zpětně proplatí příspěvek až 240 Kč za daný měsíc a testovaného. První vyúčtování proběhne po skončení měsíce března.</w:t>
      </w:r>
    </w:p>
    <w:p w:rsidR="00D75190" w:rsidRDefault="00D75190">
      <w:bookmarkStart w:id="1" w:name="_GoBack"/>
      <w:bookmarkEnd w:id="1"/>
    </w:p>
    <w:sectPr w:rsidR="00D75190" w:rsidSect="00D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F24"/>
    <w:multiLevelType w:val="multilevel"/>
    <w:tmpl w:val="DA7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13486"/>
    <w:multiLevelType w:val="multilevel"/>
    <w:tmpl w:val="58B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179BF"/>
    <w:multiLevelType w:val="multilevel"/>
    <w:tmpl w:val="E04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B7041"/>
    <w:multiLevelType w:val="multilevel"/>
    <w:tmpl w:val="04C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5084B"/>
    <w:multiLevelType w:val="multilevel"/>
    <w:tmpl w:val="D22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FA"/>
    <w:rsid w:val="00395A55"/>
    <w:rsid w:val="00BA34FA"/>
    <w:rsid w:val="00D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D1F2-7AD8-4A10-B319-67511C5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190"/>
  </w:style>
  <w:style w:type="paragraph" w:styleId="Nadpis1">
    <w:name w:val="heading 1"/>
    <w:basedOn w:val="Normln"/>
    <w:link w:val="Nadpis1Char"/>
    <w:uiPriority w:val="9"/>
    <w:qFormat/>
    <w:rsid w:val="00BA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A3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4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34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34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4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3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0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60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0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60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8000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8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informace-o-koronavirus/pruvodce-testovanim-ve-firmach--25980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o.cz/cz/rozcestnik/informace-o-koronavirus/pruvodce-testovanim-ve-firmach--2598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informace-k-moznostem-testovani-zamestnancu-spolecnosti-sidlicich-v-cr-na-pritomnost-onemocneni-covid-19-prostrednictvim-poc-antigennich-testu-hrazenych-z-verejneho-zdravotniho-pojisteni/" TargetMode="External"/><Relationship Id="rId11" Type="http://schemas.openxmlformats.org/officeDocument/2006/relationships/hyperlink" Target="https://www.mzp.cz/cz/odpad_samotesty_metodika" TargetMode="External"/><Relationship Id="rId5" Type="http://schemas.openxmlformats.org/officeDocument/2006/relationships/hyperlink" Target="https://testovani.uzis.cz/Antigen" TargetMode="External"/><Relationship Id="rId10" Type="http://schemas.openxmlformats.org/officeDocument/2006/relationships/hyperlink" Target="https://koronavirus.mzcr.cz/jak-postupovat-kdyz-mam-prizna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cr.cz/seznam-antigennich-testu-pro-ktere-vydalo-mz-vyjimk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5420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DOSIA727</dc:creator>
  <cp:lastModifiedBy>Účet Microsoft</cp:lastModifiedBy>
  <cp:revision>2</cp:revision>
  <dcterms:created xsi:type="dcterms:W3CDTF">2021-03-02T10:49:00Z</dcterms:created>
  <dcterms:modified xsi:type="dcterms:W3CDTF">2021-03-02T10:49:00Z</dcterms:modified>
</cp:coreProperties>
</file>